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7" w:rsidRDefault="00805027" w:rsidP="00805027">
      <w:pPr>
        <w:pStyle w:val="NormalWeb"/>
        <w:jc w:val="center"/>
        <w:rPr>
          <w:rFonts w:ascii="Verdana" w:hAnsi="Verdana"/>
          <w:color w:val="111111"/>
          <w:sz w:val="17"/>
          <w:szCs w:val="17"/>
          <w:lang w:val="en"/>
        </w:rPr>
      </w:pPr>
      <w:r w:rsidRPr="00805027">
        <w:rPr>
          <w:rStyle w:val="Strong"/>
          <w:rFonts w:ascii="Verdana" w:hAnsi="Verdana"/>
          <w:color w:val="111111"/>
          <w:sz w:val="32"/>
          <w:szCs w:val="32"/>
          <w:lang w:val="en"/>
        </w:rPr>
        <w:t>TGFβ1, Active</w:t>
      </w:r>
      <w:r>
        <w:rPr>
          <w:rFonts w:ascii="Verdana" w:hAnsi="Verdana"/>
          <w:b/>
          <w:bCs/>
          <w:color w:val="111111"/>
          <w:sz w:val="32"/>
          <w:szCs w:val="32"/>
          <w:lang w:val="en"/>
        </w:rPr>
        <w:t xml:space="preserve"> </w:t>
      </w:r>
      <w:r w:rsidRPr="00805027">
        <w:rPr>
          <w:rStyle w:val="Strong"/>
          <w:rFonts w:ascii="Verdana" w:hAnsi="Verdana"/>
          <w:color w:val="111111"/>
          <w:sz w:val="32"/>
          <w:szCs w:val="32"/>
          <w:lang w:val="en"/>
        </w:rPr>
        <w:t>Human, recombinant</w:t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 xml:space="preserve"> </w:t>
      </w:r>
    </w:p>
    <w:p w:rsidR="00805027" w:rsidRDefault="00805027" w:rsidP="00805027">
      <w:pPr>
        <w:pStyle w:val="NormalWeb"/>
        <w:rPr>
          <w:rStyle w:val="Strong"/>
          <w:rFonts w:ascii="Verdana" w:hAnsi="Verdana"/>
          <w:color w:val="111111"/>
          <w:sz w:val="17"/>
          <w:szCs w:val="17"/>
          <w:lang w:val="en"/>
        </w:rPr>
      </w:pP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>Catalog: SC-038-1 1ug</w:t>
      </w:r>
    </w:p>
    <w:p w:rsidR="00805027" w:rsidRPr="00805027" w:rsidRDefault="00805027" w:rsidP="00805027">
      <w:pPr>
        <w:pStyle w:val="NormalWeb"/>
        <w:rPr>
          <w:rFonts w:ascii="Verdana" w:hAnsi="Verdana"/>
          <w:b/>
          <w:bCs/>
          <w:color w:val="111111"/>
          <w:sz w:val="17"/>
          <w:szCs w:val="17"/>
          <w:lang w:val="en"/>
        </w:rPr>
      </w:pP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 xml:space="preserve">               SC-038-2 5ug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noProof/>
          <w:color w:val="111111"/>
          <w:sz w:val="17"/>
          <w:szCs w:val="17"/>
        </w:rPr>
        <w:drawing>
          <wp:anchor distT="0" distB="0" distL="0" distR="0" simplePos="0" relativeHeight="251657216" behindDoc="0" locked="0" layoutInCell="1" allowOverlap="0" wp14:anchorId="2745A59A" wp14:editId="35EEBE4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43175" cy="2124075"/>
            <wp:effectExtent l="0" t="0" r="9525" b="9525"/>
            <wp:wrapSquare wrapText="bothSides"/>
            <wp:docPr id="2" name="Picture 2" descr="TGFbeta1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GFbeta1 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 xml:space="preserve">Description: </w:t>
      </w:r>
      <w:r>
        <w:rPr>
          <w:rFonts w:ascii="Verdana" w:hAnsi="Verdana"/>
          <w:color w:val="111111"/>
          <w:sz w:val="17"/>
          <w:szCs w:val="17"/>
          <w:lang w:val="en"/>
        </w:rPr>
        <w:t>Human TGFb1 (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GenBank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Accession #NM_000660), 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a.a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. 279-390(end),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disulfide-linked homodimer. MW= ~25 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kDa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.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>Source:</w:t>
      </w:r>
      <w:r>
        <w:rPr>
          <w:rFonts w:ascii="Verdana" w:hAnsi="Verdana"/>
          <w:color w:val="111111"/>
          <w:sz w:val="17"/>
          <w:szCs w:val="17"/>
          <w:lang w:val="en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FreeStyle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 293-F cells.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>Endotoxin Level:</w:t>
      </w:r>
      <w:r>
        <w:rPr>
          <w:rFonts w:ascii="Verdana" w:hAnsi="Verdana"/>
          <w:color w:val="111111"/>
          <w:sz w:val="17"/>
          <w:szCs w:val="17"/>
          <w:lang w:val="en"/>
        </w:rPr>
        <w:t xml:space="preserve"> &lt;1 EU/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μg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.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>Biological Activity</w:t>
      </w:r>
      <w:r>
        <w:rPr>
          <w:rFonts w:ascii="Verdana" w:hAnsi="Verdana"/>
          <w:color w:val="111111"/>
          <w:sz w:val="17"/>
          <w:szCs w:val="17"/>
          <w:lang w:val="en"/>
        </w:rPr>
        <w:t xml:space="preserve">: measured by TGFβ1’s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ability to inhibit mIL-4-dependent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proliferation of HT-2 mouse helper T cells.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The ED50 is &lt;0.05ng/ml.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>Application:</w:t>
      </w:r>
      <w:r>
        <w:rPr>
          <w:rFonts w:ascii="Verdana" w:hAnsi="Verdana"/>
          <w:color w:val="111111"/>
          <w:sz w:val="17"/>
          <w:szCs w:val="17"/>
          <w:lang w:val="en"/>
        </w:rPr>
        <w:t xml:space="preserve"> Useful for cell culture and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for the study of signaling and apoptotic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pathways.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>Formulation:</w:t>
      </w:r>
      <w:r>
        <w:rPr>
          <w:rFonts w:ascii="Verdana" w:hAnsi="Verdana"/>
          <w:color w:val="111111"/>
          <w:sz w:val="17"/>
          <w:szCs w:val="17"/>
          <w:lang w:val="en"/>
        </w:rPr>
        <w:t xml:space="preserve"> Lyophilized from a 0.2 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μM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noProof/>
          <w:color w:val="111111"/>
          <w:sz w:val="17"/>
          <w:szCs w:val="17"/>
        </w:rPr>
        <w:drawing>
          <wp:anchor distT="0" distB="0" distL="0" distR="0" simplePos="0" relativeHeight="251659264" behindDoc="0" locked="0" layoutInCell="1" allowOverlap="0" wp14:anchorId="23060ED2" wp14:editId="3A73592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09875" cy="1543050"/>
            <wp:effectExtent l="0" t="0" r="9525" b="0"/>
            <wp:wrapSquare wrapText="bothSides"/>
            <wp:docPr id="3" name="Picture 3" descr="TGFbeta1 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GFbeta1 g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111111"/>
          <w:sz w:val="17"/>
          <w:szCs w:val="17"/>
          <w:lang w:val="en"/>
        </w:rPr>
        <w:t>filtered, aqueous solution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>Reconstitution:</w:t>
      </w:r>
      <w:r>
        <w:rPr>
          <w:rFonts w:ascii="Verdana" w:hAnsi="Verdana"/>
          <w:color w:val="111111"/>
          <w:sz w:val="17"/>
          <w:szCs w:val="17"/>
          <w:lang w:val="en"/>
        </w:rPr>
        <w:t xml:space="preserve"> Supplied as a lyophilized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solid. Reconstitute in sterile 0.2 M acetic acid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with 0.1% BSA.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>Stability:</w:t>
      </w:r>
      <w:r>
        <w:rPr>
          <w:rFonts w:ascii="Verdana" w:hAnsi="Verdana"/>
          <w:color w:val="111111"/>
          <w:sz w:val="17"/>
          <w:szCs w:val="17"/>
          <w:lang w:val="en"/>
        </w:rPr>
        <w:t xml:space="preserve"> ≥12 months at –80°C (as a solid).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Store reconstituted protein in aliquots at –20°C to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–80°C for up to 6 months. Avoid freeze/thaw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cycles.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r>
        <w:rPr>
          <w:rStyle w:val="Strong"/>
          <w:rFonts w:ascii="Verdana" w:hAnsi="Verdana"/>
          <w:color w:val="111111"/>
          <w:sz w:val="17"/>
          <w:szCs w:val="17"/>
          <w:lang w:val="en"/>
        </w:rPr>
        <w:t xml:space="preserve">References: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1. 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Derynck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, R. et al. (1985). Nature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316(6030):701-5.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2. 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Bourdrel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 L., et al. (1993). Protein Expr. </w:t>
      </w:r>
      <w:r>
        <w:rPr>
          <w:rFonts w:ascii="Verdana" w:hAnsi="Verdana"/>
          <w:color w:val="111111"/>
          <w:sz w:val="17"/>
          <w:szCs w:val="17"/>
          <w:lang w:val="en"/>
        </w:rPr>
        <w:br/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Purif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. 4:130-140. </w:t>
      </w:r>
      <w:r>
        <w:rPr>
          <w:rFonts w:ascii="Verdana" w:hAnsi="Verdana"/>
          <w:color w:val="111111"/>
          <w:sz w:val="17"/>
          <w:szCs w:val="17"/>
          <w:lang w:val="en"/>
        </w:rPr>
        <w:br/>
        <w:t xml:space="preserve">3. </w:t>
      </w:r>
      <w:proofErr w:type="spellStart"/>
      <w:r>
        <w:rPr>
          <w:rFonts w:ascii="Verdana" w:hAnsi="Verdana"/>
          <w:color w:val="111111"/>
          <w:sz w:val="17"/>
          <w:szCs w:val="17"/>
          <w:lang w:val="en"/>
        </w:rPr>
        <w:t>Munger</w:t>
      </w:r>
      <w:proofErr w:type="spellEnd"/>
      <w:r>
        <w:rPr>
          <w:rFonts w:ascii="Verdana" w:hAnsi="Verdana"/>
          <w:color w:val="111111"/>
          <w:sz w:val="17"/>
          <w:szCs w:val="17"/>
          <w:lang w:val="en"/>
        </w:rPr>
        <w:t xml:space="preserve">, J.S., et al. (1997). Kidney Int. </w:t>
      </w:r>
      <w:r>
        <w:rPr>
          <w:rFonts w:ascii="Verdana" w:hAnsi="Verdana"/>
          <w:color w:val="111111"/>
          <w:sz w:val="17"/>
          <w:szCs w:val="17"/>
          <w:lang w:val="en"/>
        </w:rPr>
        <w:br/>
        <w:t>51:1376-1382.</w:t>
      </w:r>
    </w:p>
    <w:p w:rsidR="00D37759" w:rsidRPr="006E3F90" w:rsidRDefault="00D37759" w:rsidP="00D3775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6E3F90">
        <w:rPr>
          <w:rFonts w:ascii="TimesNewRoman,Bold" w:hAnsi="TimesNewRoman,Bold" w:cs="TimesNewRoman,Bold"/>
          <w:b/>
          <w:bCs/>
          <w:color w:val="000000"/>
        </w:rPr>
        <w:t>Disclaimer:</w:t>
      </w:r>
    </w:p>
    <w:p w:rsidR="00D37759" w:rsidRPr="00D37759" w:rsidRDefault="00D37759" w:rsidP="00D3775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6"/>
          <w:szCs w:val="16"/>
        </w:rPr>
      </w:pPr>
      <w:r w:rsidRPr="00D37759">
        <w:rPr>
          <w:rFonts w:ascii="TimesNewRoman" w:hAnsi="TimesNewRoman" w:cs="TimesNewRoman"/>
          <w:color w:val="000000"/>
          <w:sz w:val="16"/>
          <w:szCs w:val="16"/>
        </w:rPr>
        <w:t>Some applications in which this product can be used may be covered by patents issued and applicable in certain countries. Because purchase of this product does not include a license to perform any patented application, users of this product may be required to obtain a patent license depending upon the particular application and country in which the product is used.</w:t>
      </w:r>
    </w:p>
    <w:p w:rsidR="00D37759" w:rsidRDefault="00D37759" w:rsidP="00D3775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D37759" w:rsidRPr="006E3F90" w:rsidRDefault="00D37759" w:rsidP="00D3775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6E3F90">
        <w:rPr>
          <w:rFonts w:ascii="TimesNewRoman,Bold" w:hAnsi="TimesNewRoman,Bold" w:cs="TimesNewRoman,Bold"/>
          <w:b/>
          <w:bCs/>
          <w:color w:val="000000"/>
        </w:rPr>
        <w:t>Limited Product Warranty:</w:t>
      </w:r>
    </w:p>
    <w:p w:rsidR="00D37759" w:rsidRPr="00D37759" w:rsidRDefault="00D37759" w:rsidP="00D3775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6"/>
          <w:szCs w:val="16"/>
        </w:rPr>
      </w:pPr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This warranty limits </w:t>
      </w:r>
      <w:proofErr w:type="spellStart"/>
      <w:r w:rsidRPr="00D37759">
        <w:rPr>
          <w:rFonts w:ascii="TimesNewRoman" w:hAnsi="TimesNewRoman" w:cs="TimesNewRoman"/>
          <w:color w:val="000000"/>
          <w:sz w:val="16"/>
          <w:szCs w:val="16"/>
        </w:rPr>
        <w:t>Bio</w:t>
      </w:r>
      <w:r w:rsidRPr="00D37759">
        <w:rPr>
          <w:rFonts w:ascii="TimesNewRoman" w:hAnsi="TimesNewRoman" w:cs="TimesNewRoman" w:hint="eastAsia"/>
          <w:color w:val="000000"/>
          <w:sz w:val="16"/>
          <w:szCs w:val="16"/>
        </w:rPr>
        <w:t>Pioneer</w:t>
      </w:r>
      <w:r w:rsidRPr="00D37759">
        <w:rPr>
          <w:rFonts w:ascii="TimesNewRoman" w:hAnsi="TimesNewRoman" w:cs="TimesNewRoman"/>
          <w:color w:val="000000"/>
          <w:sz w:val="16"/>
          <w:szCs w:val="16"/>
        </w:rPr>
        <w:t>’s</w:t>
      </w:r>
      <w:proofErr w:type="spellEnd"/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 liability to replacement of the product. No other warranties of any kind, express or implied, including, without limitation, implied warranties of merchantability or fitness for a particular purpose, are provided by </w:t>
      </w:r>
      <w:proofErr w:type="spellStart"/>
      <w:r w:rsidRPr="00D37759">
        <w:rPr>
          <w:rFonts w:ascii="TimesNewRoman" w:hAnsi="TimesNewRoman" w:cs="TimesNewRoman"/>
          <w:color w:val="000000"/>
          <w:sz w:val="16"/>
          <w:szCs w:val="16"/>
        </w:rPr>
        <w:t>BioPioneer</w:t>
      </w:r>
      <w:proofErr w:type="spellEnd"/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. </w:t>
      </w:r>
      <w:proofErr w:type="spellStart"/>
      <w:r w:rsidRPr="00D37759">
        <w:rPr>
          <w:rFonts w:ascii="TimesNewRoman" w:hAnsi="TimesNewRoman" w:cs="TimesNewRoman"/>
          <w:color w:val="000000"/>
          <w:sz w:val="16"/>
          <w:szCs w:val="16"/>
        </w:rPr>
        <w:t>BioPioneer</w:t>
      </w:r>
      <w:proofErr w:type="spellEnd"/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 shall have no liability for any direct, indirect,</w:t>
      </w:r>
      <w:r w:rsidRPr="00D37759">
        <w:rPr>
          <w:rFonts w:ascii="TimesNewRoman" w:hAnsi="TimesNewRoman" w:cs="TimesNewRoman" w:hint="eastAsia"/>
          <w:color w:val="000000"/>
          <w:sz w:val="16"/>
          <w:szCs w:val="16"/>
        </w:rPr>
        <w:t xml:space="preserve"> </w:t>
      </w:r>
      <w:r w:rsidRPr="00D37759">
        <w:rPr>
          <w:rFonts w:ascii="TimesNewRoman" w:hAnsi="TimesNewRoman" w:cs="TimesNewRoman"/>
          <w:color w:val="000000"/>
          <w:sz w:val="16"/>
          <w:szCs w:val="16"/>
        </w:rPr>
        <w:t>consequential, or incidental damages arising out of the use, the results of use, or t</w:t>
      </w:r>
      <w:r w:rsidR="005D7C7C">
        <w:rPr>
          <w:rFonts w:ascii="TimesNewRoman" w:hAnsi="TimesNewRoman" w:cs="TimesNewRoman"/>
          <w:color w:val="000000"/>
          <w:sz w:val="16"/>
          <w:szCs w:val="16"/>
        </w:rPr>
        <w:t>he inability to use</w:t>
      </w:r>
      <w:bookmarkStart w:id="0" w:name="_GoBack"/>
      <w:bookmarkEnd w:id="0"/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 this product.</w:t>
      </w:r>
    </w:p>
    <w:p w:rsidR="00D37759" w:rsidRPr="00D37759" w:rsidRDefault="00D37759" w:rsidP="00D37759">
      <w:pPr>
        <w:jc w:val="both"/>
        <w:rPr>
          <w:sz w:val="16"/>
          <w:szCs w:val="16"/>
        </w:rPr>
      </w:pPr>
    </w:p>
    <w:p w:rsidR="00E30661" w:rsidRPr="00805027" w:rsidRDefault="00E30661" w:rsidP="00805027"/>
    <w:sectPr w:rsidR="00E30661" w:rsidRPr="00805027" w:rsidSect="00A64E37">
      <w:headerReference w:type="default" r:id="rId9"/>
      <w:footerReference w:type="default" r:id="rId10"/>
      <w:pgSz w:w="12240" w:h="15840"/>
      <w:pgMar w:top="1440" w:right="1080" w:bottom="162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AA" w:rsidRDefault="00000AAA" w:rsidP="00A64E37">
      <w:pPr>
        <w:spacing w:after="0" w:line="240" w:lineRule="auto"/>
      </w:pPr>
      <w:r>
        <w:separator/>
      </w:r>
    </w:p>
  </w:endnote>
  <w:endnote w:type="continuationSeparator" w:id="0">
    <w:p w:rsidR="00000AAA" w:rsidRDefault="00000AAA" w:rsidP="00A6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37" w:rsidRDefault="00A64E37" w:rsidP="00A64E37">
    <w:pPr>
      <w:pStyle w:val="Footer"/>
      <w:jc w:val="center"/>
      <w:rPr>
        <w:b/>
        <w:sz w:val="16"/>
        <w:szCs w:val="16"/>
      </w:rPr>
    </w:pPr>
  </w:p>
  <w:p w:rsidR="00A64E37" w:rsidRDefault="00A64E37" w:rsidP="00A64E37">
    <w:pPr>
      <w:pStyle w:val="Footer"/>
      <w:jc w:val="center"/>
      <w:rPr>
        <w:b/>
        <w:sz w:val="16"/>
        <w:szCs w:val="16"/>
      </w:rPr>
    </w:pPr>
  </w:p>
  <w:p w:rsidR="00A64E37" w:rsidRPr="001168F8" w:rsidRDefault="00A64E37" w:rsidP="00A64E37">
    <w:pPr>
      <w:pStyle w:val="Footer"/>
      <w:jc w:val="center"/>
      <w:rPr>
        <w:b/>
        <w:sz w:val="16"/>
        <w:szCs w:val="16"/>
      </w:rPr>
    </w:pPr>
    <w:proofErr w:type="spellStart"/>
    <w:r w:rsidRPr="001168F8">
      <w:rPr>
        <w:b/>
        <w:sz w:val="16"/>
        <w:szCs w:val="16"/>
      </w:rPr>
      <w:t>BioPioneer</w:t>
    </w:r>
    <w:proofErr w:type="spellEnd"/>
    <w:r w:rsidRPr="001168F8">
      <w:rPr>
        <w:b/>
        <w:sz w:val="16"/>
        <w:szCs w:val="16"/>
      </w:rPr>
      <w:t xml:space="preserve"> Inc.</w:t>
    </w:r>
  </w:p>
  <w:p w:rsidR="00A64E37" w:rsidRPr="001168F8" w:rsidRDefault="00A64E37" w:rsidP="00A64E3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3956 Sorrento Valley Blvd</w:t>
    </w:r>
    <w:r w:rsidRPr="001168F8">
      <w:rPr>
        <w:sz w:val="16"/>
        <w:szCs w:val="16"/>
      </w:rPr>
      <w:t>. Suite 200 San Diego, CA 92121</w:t>
    </w:r>
  </w:p>
  <w:p w:rsidR="00A64E37" w:rsidRPr="001168F8" w:rsidRDefault="00A64E37" w:rsidP="00A64E37">
    <w:pPr>
      <w:pStyle w:val="Footer"/>
      <w:jc w:val="center"/>
      <w:rPr>
        <w:sz w:val="16"/>
        <w:szCs w:val="16"/>
      </w:rPr>
    </w:pPr>
    <w:r w:rsidRPr="001168F8">
      <w:rPr>
        <w:sz w:val="16"/>
        <w:szCs w:val="16"/>
      </w:rPr>
      <w:t>Tel: 858-232-9588  FAX: 858-225-0288</w:t>
    </w:r>
  </w:p>
  <w:p w:rsidR="00A64E37" w:rsidRDefault="00A64E37" w:rsidP="00A64E37">
    <w:pPr>
      <w:pStyle w:val="Footer"/>
      <w:jc w:val="center"/>
    </w:pPr>
    <w:r w:rsidRPr="001168F8">
      <w:rPr>
        <w:sz w:val="16"/>
        <w:szCs w:val="16"/>
      </w:rPr>
      <w:t xml:space="preserve">Email: </w:t>
    </w:r>
    <w:hyperlink r:id="rId1" w:history="1">
      <w:r w:rsidRPr="001168F8">
        <w:rPr>
          <w:rStyle w:val="Hyperlink"/>
          <w:sz w:val="16"/>
          <w:szCs w:val="16"/>
        </w:rPr>
        <w:t>Info@BioPioneerinc.com</w:t>
      </w:r>
    </w:hyperlink>
    <w:r w:rsidRPr="001168F8">
      <w:rPr>
        <w:sz w:val="16"/>
        <w:szCs w:val="16"/>
      </w:rPr>
      <w:t xml:space="preserve">  Web: </w:t>
    </w:r>
    <w:hyperlink r:id="rId2" w:history="1">
      <w:r w:rsidRPr="001168F8">
        <w:rPr>
          <w:rStyle w:val="Hyperlink"/>
          <w:sz w:val="16"/>
          <w:szCs w:val="16"/>
        </w:rPr>
        <w:t>http://www.BioPioneerinc.com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AA" w:rsidRDefault="00000AAA" w:rsidP="00A64E37">
      <w:pPr>
        <w:spacing w:after="0" w:line="240" w:lineRule="auto"/>
      </w:pPr>
      <w:r>
        <w:separator/>
      </w:r>
    </w:p>
  </w:footnote>
  <w:footnote w:type="continuationSeparator" w:id="0">
    <w:p w:rsidR="00000AAA" w:rsidRDefault="00000AAA" w:rsidP="00A6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37" w:rsidRDefault="00A64E37" w:rsidP="00A64E37">
    <w:pPr>
      <w:pStyle w:val="Header"/>
      <w:jc w:val="center"/>
    </w:pPr>
    <w:r>
      <w:rPr>
        <w:noProof/>
      </w:rPr>
      <w:drawing>
        <wp:inline distT="0" distB="0" distL="0" distR="0">
          <wp:extent cx="1965325" cy="395605"/>
          <wp:effectExtent l="19050" t="0" r="0" b="0"/>
          <wp:docPr id="1" name="Picture 1" descr="1143645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4364533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37"/>
    <w:rsid w:val="00000AAA"/>
    <w:rsid w:val="00040D8A"/>
    <w:rsid w:val="001D50E3"/>
    <w:rsid w:val="001D7A04"/>
    <w:rsid w:val="003E6449"/>
    <w:rsid w:val="00450EA1"/>
    <w:rsid w:val="004D3DF9"/>
    <w:rsid w:val="005D7C7C"/>
    <w:rsid w:val="0069417D"/>
    <w:rsid w:val="007B65ED"/>
    <w:rsid w:val="007C3085"/>
    <w:rsid w:val="00805027"/>
    <w:rsid w:val="00820420"/>
    <w:rsid w:val="00A64E37"/>
    <w:rsid w:val="00A90A95"/>
    <w:rsid w:val="00B33AD6"/>
    <w:rsid w:val="00D37759"/>
    <w:rsid w:val="00E10E03"/>
    <w:rsid w:val="00E30661"/>
    <w:rsid w:val="00F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E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E37"/>
  </w:style>
  <w:style w:type="paragraph" w:styleId="Footer">
    <w:name w:val="footer"/>
    <w:basedOn w:val="Normal"/>
    <w:link w:val="FooterChar"/>
    <w:unhideWhenUsed/>
    <w:rsid w:val="00A6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E37"/>
  </w:style>
  <w:style w:type="paragraph" w:styleId="BalloonText">
    <w:name w:val="Balloon Text"/>
    <w:basedOn w:val="Normal"/>
    <w:link w:val="BalloonTextChar"/>
    <w:uiPriority w:val="99"/>
    <w:semiHidden/>
    <w:unhideWhenUsed/>
    <w:rsid w:val="00A6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50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5027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E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E37"/>
  </w:style>
  <w:style w:type="paragraph" w:styleId="Footer">
    <w:name w:val="footer"/>
    <w:basedOn w:val="Normal"/>
    <w:link w:val="FooterChar"/>
    <w:unhideWhenUsed/>
    <w:rsid w:val="00A6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E37"/>
  </w:style>
  <w:style w:type="paragraph" w:styleId="BalloonText">
    <w:name w:val="Balloon Text"/>
    <w:basedOn w:val="Normal"/>
    <w:link w:val="BalloonTextChar"/>
    <w:uiPriority w:val="99"/>
    <w:semiHidden/>
    <w:unhideWhenUsed/>
    <w:rsid w:val="00A6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50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5027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5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Pioneerinc.com" TargetMode="External"/><Relationship Id="rId1" Type="http://schemas.openxmlformats.org/officeDocument/2006/relationships/hyperlink" Target="mailto:Info@BioPioneer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danielg</cp:lastModifiedBy>
  <cp:revision>3</cp:revision>
  <dcterms:created xsi:type="dcterms:W3CDTF">2012-12-18T00:49:00Z</dcterms:created>
  <dcterms:modified xsi:type="dcterms:W3CDTF">2015-09-17T00:59:00Z</dcterms:modified>
</cp:coreProperties>
</file>